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EBD2" w14:textId="7CAA9FCD" w:rsidR="00326193" w:rsidRPr="00637D4D" w:rsidRDefault="00326193" w:rsidP="00326193">
      <w:pPr>
        <w:jc w:val="center"/>
        <w:rPr>
          <w:rFonts w:ascii="Times New Roman" w:hAnsi="Times New Roman" w:cs="Times New Roman"/>
          <w:b/>
          <w:bCs/>
          <w:sz w:val="32"/>
          <w:szCs w:val="32"/>
        </w:rPr>
      </w:pPr>
      <w:r w:rsidRPr="00637D4D">
        <w:rPr>
          <w:rFonts w:ascii="Times New Roman" w:hAnsi="Times New Roman" w:cs="Times New Roman"/>
          <w:b/>
          <w:bCs/>
          <w:sz w:val="32"/>
          <w:szCs w:val="32"/>
        </w:rPr>
        <w:t>202</w:t>
      </w:r>
      <w:r w:rsidR="00822364">
        <w:rPr>
          <w:rFonts w:ascii="Times New Roman" w:hAnsi="Times New Roman" w:cs="Times New Roman"/>
          <w:b/>
          <w:bCs/>
          <w:sz w:val="32"/>
          <w:szCs w:val="32"/>
        </w:rPr>
        <w:t>5</w:t>
      </w:r>
      <w:r w:rsidRPr="00637D4D">
        <w:rPr>
          <w:rFonts w:ascii="Times New Roman" w:hAnsi="Times New Roman" w:cs="Times New Roman"/>
          <w:b/>
          <w:bCs/>
          <w:sz w:val="32"/>
          <w:szCs w:val="32"/>
        </w:rPr>
        <w:t xml:space="preserve"> Parochial Report </w:t>
      </w:r>
      <w:r w:rsidR="00EF4FE2" w:rsidRPr="00637D4D">
        <w:rPr>
          <w:rFonts w:ascii="Times New Roman" w:hAnsi="Times New Roman" w:cs="Times New Roman"/>
          <w:b/>
          <w:bCs/>
          <w:sz w:val="32"/>
          <w:szCs w:val="32"/>
        </w:rPr>
        <w:t>Reference Guide</w:t>
      </w:r>
    </w:p>
    <w:p w14:paraId="6CF6D34B" w14:textId="77777777" w:rsidR="00326193" w:rsidRPr="00637D4D" w:rsidRDefault="00326193" w:rsidP="00326193">
      <w:pPr>
        <w:rPr>
          <w:rFonts w:ascii="Times New Roman" w:hAnsi="Times New Roman" w:cs="Times New Roman"/>
          <w:b/>
          <w:bCs/>
          <w:sz w:val="28"/>
          <w:szCs w:val="28"/>
        </w:rPr>
      </w:pPr>
      <w:r w:rsidRPr="00637D4D">
        <w:rPr>
          <w:rFonts w:ascii="Times New Roman" w:hAnsi="Times New Roman" w:cs="Times New Roman"/>
          <w:b/>
          <w:bCs/>
          <w:sz w:val="28"/>
          <w:szCs w:val="28"/>
        </w:rPr>
        <w:t>The Episcopal Church in the Diocese of Ohio 2025-26 Constitution and Canons</w:t>
      </w:r>
    </w:p>
    <w:p w14:paraId="5414D5C3" w14:textId="77777777" w:rsidR="00326193" w:rsidRPr="00637D4D" w:rsidRDefault="00326193" w:rsidP="00326193">
      <w:pPr>
        <w:rPr>
          <w:rFonts w:ascii="Times New Roman" w:hAnsi="Times New Roman" w:cs="Times New Roman"/>
          <w:b/>
          <w:bCs/>
          <w:sz w:val="28"/>
          <w:szCs w:val="28"/>
        </w:rPr>
      </w:pPr>
      <w:r w:rsidRPr="00637D4D">
        <w:rPr>
          <w:rFonts w:ascii="Times New Roman" w:hAnsi="Times New Roman" w:cs="Times New Roman"/>
          <w:b/>
          <w:bCs/>
          <w:sz w:val="28"/>
          <w:szCs w:val="28"/>
        </w:rPr>
        <w:t xml:space="preserve">CANON 15: Of the Diocesan Fund </w:t>
      </w:r>
    </w:p>
    <w:p w14:paraId="1A938296" w14:textId="5CE8F8A2" w:rsidR="00E8758F" w:rsidRPr="00637D4D" w:rsidRDefault="00E8758F" w:rsidP="00E8758F">
      <w:pPr>
        <w:rPr>
          <w:rFonts w:ascii="Times New Roman" w:hAnsi="Times New Roman" w:cs="Times New Roman"/>
        </w:rPr>
      </w:pPr>
      <w:r w:rsidRPr="00637D4D">
        <w:rPr>
          <w:rFonts w:ascii="Times New Roman" w:hAnsi="Times New Roman" w:cs="Times New Roman"/>
          <w:b/>
          <w:bCs/>
        </w:rPr>
        <w:t>Sec. 1.</w:t>
      </w:r>
      <w:r w:rsidRPr="00637D4D">
        <w:rPr>
          <w:rFonts w:ascii="Times New Roman" w:hAnsi="Times New Roman" w:cs="Times New Roman"/>
        </w:rPr>
        <w:t xml:space="preserve"> At each Annual Convention</w:t>
      </w:r>
      <w:r w:rsidR="00FC4045" w:rsidRPr="00637D4D">
        <w:rPr>
          <w:rFonts w:ascii="Times New Roman" w:hAnsi="Times New Roman" w:cs="Times New Roman"/>
        </w:rPr>
        <w:t>,</w:t>
      </w:r>
      <w:r w:rsidRPr="00637D4D">
        <w:rPr>
          <w:rFonts w:ascii="Times New Roman" w:hAnsi="Times New Roman" w:cs="Times New Roman"/>
        </w:rPr>
        <w:t xml:space="preserve"> an assessment shall be made upon all parishes in the Diocese, according to the formula </w:t>
      </w:r>
      <w:r w:rsidR="00FC4045" w:rsidRPr="00637D4D">
        <w:rPr>
          <w:rFonts w:ascii="Times New Roman" w:hAnsi="Times New Roman" w:cs="Times New Roman"/>
        </w:rPr>
        <w:t>outlined in</w:t>
      </w:r>
      <w:r w:rsidRPr="00637D4D">
        <w:rPr>
          <w:rFonts w:ascii="Times New Roman" w:hAnsi="Times New Roman" w:cs="Times New Roman"/>
        </w:rPr>
        <w:t xml:space="preserve"> Section 2 of this Canon. </w:t>
      </w:r>
    </w:p>
    <w:p w14:paraId="74C84BDD" w14:textId="77777777" w:rsidR="00E8758F" w:rsidRPr="00637D4D" w:rsidRDefault="00E8758F" w:rsidP="00E8758F">
      <w:pPr>
        <w:rPr>
          <w:rFonts w:ascii="Times New Roman" w:hAnsi="Times New Roman" w:cs="Times New Roman"/>
        </w:rPr>
      </w:pPr>
      <w:r w:rsidRPr="00637D4D">
        <w:rPr>
          <w:rFonts w:ascii="Times New Roman" w:hAnsi="Times New Roman" w:cs="Times New Roman"/>
          <w:b/>
          <w:bCs/>
        </w:rPr>
        <w:t>Sec. 2.</w:t>
      </w:r>
      <w:r w:rsidRPr="00637D4D">
        <w:rPr>
          <w:rFonts w:ascii="Times New Roman" w:hAnsi="Times New Roman" w:cs="Times New Roman"/>
        </w:rPr>
        <w:t xml:space="preserve"> (a) In each year, there shall be an annual assessment made upon all parishes in the Diocese as follows: </w:t>
      </w:r>
    </w:p>
    <w:p w14:paraId="56EB2DB1" w14:textId="5A7BC289" w:rsidR="00E8758F" w:rsidRPr="00637D4D" w:rsidRDefault="00E8758F" w:rsidP="00E8758F">
      <w:pPr>
        <w:ind w:firstLine="720"/>
        <w:rPr>
          <w:rFonts w:ascii="Times New Roman" w:hAnsi="Times New Roman" w:cs="Times New Roman"/>
        </w:rPr>
      </w:pPr>
      <w:r w:rsidRPr="00637D4D">
        <w:rPr>
          <w:rFonts w:ascii="Times New Roman" w:hAnsi="Times New Roman" w:cs="Times New Roman"/>
        </w:rPr>
        <w:t>• 10 percent of the first $</w:t>
      </w:r>
      <w:r w:rsidR="002A5CF4" w:rsidRPr="00637D4D">
        <w:rPr>
          <w:rFonts w:ascii="Times New Roman" w:hAnsi="Times New Roman" w:cs="Times New Roman"/>
        </w:rPr>
        <w:t>50,000</w:t>
      </w:r>
      <w:r w:rsidRPr="00637D4D">
        <w:rPr>
          <w:rFonts w:ascii="Times New Roman" w:hAnsi="Times New Roman" w:cs="Times New Roman"/>
        </w:rPr>
        <w:t xml:space="preserve"> Normal Operating Expenses (NOE) </w:t>
      </w:r>
      <w:r w:rsidR="002A5CF4" w:rsidRPr="00637D4D">
        <w:rPr>
          <w:rFonts w:ascii="Times New Roman" w:hAnsi="Times New Roman" w:cs="Times New Roman"/>
        </w:rPr>
        <w:t>in</w:t>
      </w:r>
      <w:r w:rsidRPr="00637D4D">
        <w:rPr>
          <w:rFonts w:ascii="Times New Roman" w:hAnsi="Times New Roman" w:cs="Times New Roman"/>
        </w:rPr>
        <w:t xml:space="preserve"> a </w:t>
      </w:r>
      <w:r w:rsidR="002A5CF4" w:rsidRPr="00637D4D">
        <w:rPr>
          <w:rFonts w:ascii="Times New Roman" w:hAnsi="Times New Roman" w:cs="Times New Roman"/>
        </w:rPr>
        <w:t>parish.</w:t>
      </w:r>
      <w:r w:rsidRPr="00637D4D">
        <w:rPr>
          <w:rFonts w:ascii="Times New Roman" w:hAnsi="Times New Roman" w:cs="Times New Roman"/>
        </w:rPr>
        <w:t xml:space="preserve"> </w:t>
      </w:r>
    </w:p>
    <w:p w14:paraId="46A41C07" w14:textId="6ADE3E13" w:rsidR="00E8758F" w:rsidRPr="00637D4D" w:rsidRDefault="00E8758F" w:rsidP="00E8758F">
      <w:pPr>
        <w:ind w:firstLine="720"/>
        <w:rPr>
          <w:rFonts w:ascii="Times New Roman" w:hAnsi="Times New Roman" w:cs="Times New Roman"/>
        </w:rPr>
      </w:pPr>
      <w:r w:rsidRPr="00637D4D">
        <w:rPr>
          <w:rFonts w:ascii="Times New Roman" w:hAnsi="Times New Roman" w:cs="Times New Roman"/>
        </w:rPr>
        <w:t xml:space="preserve">• 13 percent of that portion of the NOE above $50,000 and up to </w:t>
      </w:r>
      <w:r w:rsidR="002A5CF4" w:rsidRPr="00637D4D">
        <w:rPr>
          <w:rFonts w:ascii="Times New Roman" w:hAnsi="Times New Roman" w:cs="Times New Roman"/>
        </w:rPr>
        <w:t>$150,000.</w:t>
      </w:r>
      <w:r w:rsidRPr="00637D4D">
        <w:rPr>
          <w:rFonts w:ascii="Times New Roman" w:hAnsi="Times New Roman" w:cs="Times New Roman"/>
        </w:rPr>
        <w:t xml:space="preserve"> </w:t>
      </w:r>
    </w:p>
    <w:p w14:paraId="04D49421" w14:textId="30E8446C" w:rsidR="00E8758F" w:rsidRPr="00637D4D" w:rsidRDefault="00E8758F" w:rsidP="008B738E">
      <w:pPr>
        <w:ind w:firstLine="720"/>
        <w:rPr>
          <w:rFonts w:ascii="Times New Roman" w:hAnsi="Times New Roman" w:cs="Times New Roman"/>
        </w:rPr>
      </w:pPr>
      <w:r w:rsidRPr="00637D4D">
        <w:rPr>
          <w:rFonts w:ascii="Times New Roman" w:hAnsi="Times New Roman" w:cs="Times New Roman"/>
        </w:rPr>
        <w:t xml:space="preserve">• 16 percent of that portion of the NOE above $150,000 and up to </w:t>
      </w:r>
      <w:r w:rsidR="002A5CF4" w:rsidRPr="00637D4D">
        <w:rPr>
          <w:rFonts w:ascii="Times New Roman" w:hAnsi="Times New Roman" w:cs="Times New Roman"/>
        </w:rPr>
        <w:t>$250,000.</w:t>
      </w:r>
    </w:p>
    <w:p w14:paraId="35D03BCF" w14:textId="77777777" w:rsidR="00E8758F" w:rsidRPr="00637D4D" w:rsidRDefault="00E8758F" w:rsidP="00E8758F">
      <w:pPr>
        <w:ind w:firstLine="720"/>
        <w:rPr>
          <w:rFonts w:ascii="Times New Roman" w:hAnsi="Times New Roman" w:cs="Times New Roman"/>
        </w:rPr>
      </w:pPr>
      <w:r w:rsidRPr="00637D4D">
        <w:rPr>
          <w:rFonts w:ascii="Times New Roman" w:hAnsi="Times New Roman" w:cs="Times New Roman"/>
        </w:rPr>
        <w:t xml:space="preserve"> • 19 percent of that portion of the NOE above $250,000. </w:t>
      </w:r>
    </w:p>
    <w:p w14:paraId="45BC04AF" w14:textId="0F5158D6" w:rsidR="002B6797" w:rsidRDefault="00E8758F" w:rsidP="002B6797">
      <w:pPr>
        <w:ind w:firstLine="720"/>
        <w:rPr>
          <w:rFonts w:ascii="Times New Roman" w:hAnsi="Times New Roman" w:cs="Times New Roman"/>
        </w:rPr>
      </w:pPr>
      <w:r w:rsidRPr="00637D4D">
        <w:rPr>
          <w:rFonts w:ascii="Times New Roman" w:hAnsi="Times New Roman" w:cs="Times New Roman"/>
        </w:rPr>
        <w:t>(b) Normal Operating Expenses</w:t>
      </w:r>
      <w:r w:rsidR="00CC3061" w:rsidRPr="00637D4D">
        <w:rPr>
          <w:rFonts w:ascii="Times New Roman" w:hAnsi="Times New Roman" w:cs="Times New Roman"/>
        </w:rPr>
        <w:t xml:space="preserve"> (NOE)</w:t>
      </w:r>
      <w:r w:rsidRPr="00637D4D">
        <w:rPr>
          <w:rFonts w:ascii="Times New Roman" w:hAnsi="Times New Roman" w:cs="Times New Roman"/>
        </w:rPr>
        <w:t xml:space="preserve"> </w:t>
      </w:r>
      <w:proofErr w:type="gramStart"/>
      <w:r w:rsidRPr="00637D4D">
        <w:rPr>
          <w:rFonts w:ascii="Times New Roman" w:hAnsi="Times New Roman" w:cs="Times New Roman"/>
        </w:rPr>
        <w:t>is</w:t>
      </w:r>
      <w:proofErr w:type="gramEnd"/>
      <w:r w:rsidRPr="00637D4D">
        <w:rPr>
          <w:rFonts w:ascii="Times New Roman" w:hAnsi="Times New Roman" w:cs="Times New Roman"/>
        </w:rPr>
        <w:t xml:space="preserve"> defined </w:t>
      </w:r>
      <w:proofErr w:type="gramStart"/>
      <w:r w:rsidR="002B6797" w:rsidRPr="002B6797">
        <w:rPr>
          <w:rFonts w:ascii="Times New Roman" w:hAnsi="Times New Roman" w:cs="Times New Roman"/>
        </w:rPr>
        <w:t>on</w:t>
      </w:r>
      <w:proofErr w:type="gramEnd"/>
      <w:r w:rsidR="002B6797" w:rsidRPr="002B6797">
        <w:rPr>
          <w:rFonts w:ascii="Times New Roman" w:hAnsi="Times New Roman" w:cs="Times New Roman"/>
        </w:rPr>
        <w:t xml:space="preserve"> the Parochial Report, </w:t>
      </w:r>
      <w:proofErr w:type="gramStart"/>
      <w:r w:rsidR="002B6797" w:rsidRPr="002B6797">
        <w:rPr>
          <w:rFonts w:ascii="Times New Roman" w:hAnsi="Times New Roman" w:cs="Times New Roman"/>
        </w:rPr>
        <w:t>less</w:t>
      </w:r>
      <w:proofErr w:type="gramEnd"/>
      <w:r w:rsidR="002B6797" w:rsidRPr="002B6797">
        <w:rPr>
          <w:rFonts w:ascii="Times New Roman" w:hAnsi="Times New Roman" w:cs="Times New Roman"/>
        </w:rPr>
        <w:t>:</w:t>
      </w:r>
      <w:r w:rsidRPr="00637D4D">
        <w:rPr>
          <w:rFonts w:ascii="Times New Roman" w:hAnsi="Times New Roman" w:cs="Times New Roman"/>
        </w:rPr>
        <w:t xml:space="preserve"> </w:t>
      </w:r>
    </w:p>
    <w:p w14:paraId="109D7F3C" w14:textId="77777777"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Diocesan Aid to Operating Budget</w:t>
      </w:r>
    </w:p>
    <w:p w14:paraId="76CB9B1E" w14:textId="77777777"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Assessment Expense</w:t>
      </w:r>
    </w:p>
    <w:p w14:paraId="13FB91A9" w14:textId="5FBDFE7C"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 xml:space="preserve">Outreach shown on </w:t>
      </w:r>
      <w:r w:rsidRPr="002B6797">
        <w:rPr>
          <w:rFonts w:ascii="Times New Roman" w:hAnsi="Times New Roman" w:cs="Times New Roman"/>
        </w:rPr>
        <w:t xml:space="preserve">the </w:t>
      </w:r>
      <w:r w:rsidRPr="002B6797">
        <w:rPr>
          <w:rFonts w:ascii="Times New Roman" w:hAnsi="Times New Roman" w:cs="Times New Roman"/>
        </w:rPr>
        <w:t>Operating Budget</w:t>
      </w:r>
    </w:p>
    <w:p w14:paraId="0F627296" w14:textId="77777777"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Donations to Seminaries</w:t>
      </w:r>
    </w:p>
    <w:p w14:paraId="4EF633F1" w14:textId="77777777"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Funds Distributed to Outside Organizations</w:t>
      </w:r>
    </w:p>
    <w:p w14:paraId="36AE8200" w14:textId="77777777" w:rsidR="002B6797" w:rsidRP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Expense calculated for Missions &amp; Ministry Outreach Programs</w:t>
      </w:r>
    </w:p>
    <w:p w14:paraId="53BAA62E" w14:textId="48CCC0FF" w:rsidR="002B6797" w:rsidRDefault="002B6797" w:rsidP="002B6797">
      <w:pPr>
        <w:pStyle w:val="ListParagraph"/>
        <w:numPr>
          <w:ilvl w:val="0"/>
          <w:numId w:val="5"/>
        </w:numPr>
        <w:spacing w:after="0" w:line="240" w:lineRule="auto"/>
        <w:rPr>
          <w:rFonts w:ascii="Times New Roman" w:hAnsi="Times New Roman" w:cs="Times New Roman"/>
        </w:rPr>
      </w:pPr>
      <w:r w:rsidRPr="002B6797">
        <w:rPr>
          <w:rFonts w:ascii="Times New Roman" w:hAnsi="Times New Roman" w:cs="Times New Roman"/>
        </w:rPr>
        <w:t>Depreciation</w:t>
      </w:r>
    </w:p>
    <w:p w14:paraId="23F34578" w14:textId="77777777" w:rsidR="002B6797" w:rsidRPr="002B6797" w:rsidRDefault="002B6797" w:rsidP="002B6797">
      <w:pPr>
        <w:spacing w:after="0" w:line="240" w:lineRule="auto"/>
        <w:ind w:left="360"/>
        <w:rPr>
          <w:rFonts w:ascii="Times New Roman" w:hAnsi="Times New Roman" w:cs="Times New Roman"/>
        </w:rPr>
      </w:pPr>
    </w:p>
    <w:p w14:paraId="412FF2BD" w14:textId="4B9CA6DF" w:rsidR="00E8758F" w:rsidRPr="00637D4D" w:rsidRDefault="00E8758F" w:rsidP="002B6797">
      <w:pPr>
        <w:ind w:firstLine="720"/>
        <w:rPr>
          <w:rFonts w:ascii="Times New Roman" w:hAnsi="Times New Roman" w:cs="Times New Roman"/>
        </w:rPr>
      </w:pPr>
      <w:r w:rsidRPr="00637D4D">
        <w:rPr>
          <w:rFonts w:ascii="Times New Roman" w:hAnsi="Times New Roman" w:cs="Times New Roman"/>
          <w:b/>
          <w:bCs/>
        </w:rPr>
        <w:t>Sec. 3.</w:t>
      </w:r>
      <w:r w:rsidRPr="00637D4D">
        <w:rPr>
          <w:rFonts w:ascii="Times New Roman" w:hAnsi="Times New Roman" w:cs="Times New Roman"/>
        </w:rPr>
        <w:t xml:space="preserve"> (a) By February 20, each parish shall estimate an annual assessment based on projected or budgeted Normal Operating Expenses for the current calendar </w:t>
      </w:r>
      <w:r w:rsidR="00FC4045" w:rsidRPr="00637D4D">
        <w:rPr>
          <w:rFonts w:ascii="Times New Roman" w:hAnsi="Times New Roman" w:cs="Times New Roman"/>
        </w:rPr>
        <w:t>year and</w:t>
      </w:r>
      <w:r w:rsidRPr="00637D4D">
        <w:rPr>
          <w:rFonts w:ascii="Times New Roman" w:hAnsi="Times New Roman" w:cs="Times New Roman"/>
        </w:rPr>
        <w:t xml:space="preserve"> shall use that estimate to calculate an average annual percentage rate of assessment to be used as described in Section 3(b) below. The average annual percentage is determined by dividing the </w:t>
      </w:r>
      <w:r w:rsidR="00FC4045" w:rsidRPr="00637D4D">
        <w:rPr>
          <w:rFonts w:ascii="Times New Roman" w:hAnsi="Times New Roman" w:cs="Times New Roman"/>
        </w:rPr>
        <w:t xml:space="preserve">Diocese's estimated annual assessment by the parish's total estimated NOE </w:t>
      </w:r>
      <w:r w:rsidRPr="00637D4D">
        <w:rPr>
          <w:rFonts w:ascii="Times New Roman" w:hAnsi="Times New Roman" w:cs="Times New Roman"/>
        </w:rPr>
        <w:t xml:space="preserve">for the year. </w:t>
      </w:r>
    </w:p>
    <w:p w14:paraId="37F77DA8" w14:textId="77777777" w:rsidR="00E8758F" w:rsidRPr="00637D4D" w:rsidRDefault="00E8758F" w:rsidP="00E8758F">
      <w:pPr>
        <w:ind w:left="90" w:firstLine="630"/>
        <w:rPr>
          <w:rFonts w:ascii="Times New Roman" w:hAnsi="Times New Roman" w:cs="Times New Roman"/>
        </w:rPr>
      </w:pPr>
      <w:r w:rsidRPr="00637D4D">
        <w:rPr>
          <w:rFonts w:ascii="Times New Roman" w:hAnsi="Times New Roman" w:cs="Times New Roman"/>
        </w:rPr>
        <w:t xml:space="preserve">(b) On the 20th day of each month thereafter, each parish shall pay to the Diocese a monthly payment determined by applying the average annual percentage rate of assessment for the parish to the parish’s Normal Operating Expenses for the preceding month. </w:t>
      </w:r>
    </w:p>
    <w:p w14:paraId="198C2807" w14:textId="77777777" w:rsidR="008B738E" w:rsidRDefault="00E8758F" w:rsidP="008B738E">
      <w:pPr>
        <w:ind w:firstLine="720"/>
        <w:rPr>
          <w:rFonts w:ascii="Times New Roman" w:hAnsi="Times New Roman" w:cs="Times New Roman"/>
        </w:rPr>
      </w:pPr>
      <w:r w:rsidRPr="00637D4D">
        <w:rPr>
          <w:rFonts w:ascii="Times New Roman" w:hAnsi="Times New Roman" w:cs="Times New Roman"/>
        </w:rPr>
        <w:t xml:space="preserve">(c) </w:t>
      </w:r>
      <w:r w:rsidRPr="00822364">
        <w:rPr>
          <w:rFonts w:ascii="Times New Roman" w:hAnsi="Times New Roman" w:cs="Times New Roman"/>
        </w:rPr>
        <w:t>No later than</w:t>
      </w:r>
      <w:r w:rsidRPr="00822364">
        <w:rPr>
          <w:rFonts w:ascii="Times New Roman" w:hAnsi="Times New Roman" w:cs="Times New Roman"/>
          <w:b/>
          <w:bCs/>
        </w:rPr>
        <w:t xml:space="preserve"> March 1</w:t>
      </w:r>
      <w:r w:rsidRPr="00637D4D">
        <w:rPr>
          <w:rFonts w:ascii="Times New Roman" w:hAnsi="Times New Roman" w:cs="Times New Roman"/>
        </w:rPr>
        <w:t xml:space="preserve">, each year, each parish will determine its final assessment for the preceding year by performing an end-of-year reconciliation of its assessment due </w:t>
      </w:r>
      <w:r w:rsidR="00FC4045" w:rsidRPr="00637D4D">
        <w:rPr>
          <w:rFonts w:ascii="Times New Roman" w:hAnsi="Times New Roman" w:cs="Times New Roman"/>
        </w:rPr>
        <w:t>to using</w:t>
      </w:r>
      <w:r w:rsidRPr="00637D4D">
        <w:rPr>
          <w:rFonts w:ascii="Times New Roman" w:hAnsi="Times New Roman" w:cs="Times New Roman"/>
        </w:rPr>
        <w:t xml:space="preserve"> the formula </w:t>
      </w:r>
      <w:r w:rsidR="00FC4045" w:rsidRPr="00637D4D">
        <w:rPr>
          <w:rFonts w:ascii="Times New Roman" w:hAnsi="Times New Roman" w:cs="Times New Roman"/>
        </w:rPr>
        <w:t>outlined in</w:t>
      </w:r>
      <w:r w:rsidRPr="00637D4D">
        <w:rPr>
          <w:rFonts w:ascii="Times New Roman" w:hAnsi="Times New Roman" w:cs="Times New Roman"/>
        </w:rPr>
        <w:t xml:space="preserve"> Section 2 above and the final Parochial Report data for the same year, to the total assessment payments made for the calendar year. </w:t>
      </w:r>
      <w:r w:rsidR="008B738E" w:rsidRPr="008B738E">
        <w:rPr>
          <w:rFonts w:ascii="Times New Roman" w:hAnsi="Times New Roman" w:cs="Times New Roman"/>
        </w:rPr>
        <w:t>Any overpayment will be refunded to the parish; underpayment will be invoiced, with payment due thirty (30) days from billing.</w:t>
      </w:r>
    </w:p>
    <w:p w14:paraId="084B707E" w14:textId="4BA1CEED" w:rsidR="00326193" w:rsidRPr="00637D4D" w:rsidRDefault="00E8758F" w:rsidP="008B738E">
      <w:pPr>
        <w:rPr>
          <w:rFonts w:ascii="Times New Roman" w:hAnsi="Times New Roman" w:cs="Times New Roman"/>
        </w:rPr>
      </w:pPr>
      <w:r w:rsidRPr="00637D4D">
        <w:rPr>
          <w:rFonts w:ascii="Times New Roman" w:hAnsi="Times New Roman" w:cs="Times New Roman"/>
          <w:b/>
          <w:bCs/>
        </w:rPr>
        <w:lastRenderedPageBreak/>
        <w:t>Sec. 4.</w:t>
      </w:r>
      <w:r w:rsidRPr="00637D4D">
        <w:rPr>
          <w:rFonts w:ascii="Times New Roman" w:hAnsi="Times New Roman" w:cs="Times New Roman"/>
        </w:rPr>
        <w:t xml:space="preserve"> Parishes in arrears on the day delegate certificates are canonically due shall retain seat and voice at Diocesan Convention but forfeit their lay representation vote. Parishes are deemed in arrears when they fail to pay their Diocesan assessments in full for all months up to and including the last day of the fifth month </w:t>
      </w:r>
      <w:r w:rsidR="00FC4045" w:rsidRPr="00637D4D">
        <w:rPr>
          <w:rFonts w:ascii="Times New Roman" w:hAnsi="Times New Roman" w:cs="Times New Roman"/>
        </w:rPr>
        <w:t>before</w:t>
      </w:r>
      <w:r w:rsidRPr="00637D4D">
        <w:rPr>
          <w:rFonts w:ascii="Times New Roman" w:hAnsi="Times New Roman" w:cs="Times New Roman"/>
        </w:rPr>
        <w:t xml:space="preserve"> Diocesan Convention. There is no power entrusted to the Convention or any Committee thereof to waive this fault.</w:t>
      </w:r>
    </w:p>
    <w:p w14:paraId="3B04DC23" w14:textId="735E6B68" w:rsidR="00FC4045" w:rsidRPr="00637D4D" w:rsidRDefault="00FC4045" w:rsidP="00FC4045">
      <w:pPr>
        <w:jc w:val="center"/>
        <w:rPr>
          <w:rFonts w:ascii="Times New Roman" w:hAnsi="Times New Roman" w:cs="Times New Roman"/>
          <w:b/>
          <w:bCs/>
        </w:rPr>
      </w:pPr>
      <w:r w:rsidRPr="00637D4D">
        <w:rPr>
          <w:rFonts w:ascii="Times New Roman" w:hAnsi="Times New Roman" w:cs="Times New Roman"/>
          <w:b/>
          <w:bCs/>
        </w:rPr>
        <w:t>Effective 1/1/26 for 2025 audits</w:t>
      </w:r>
    </w:p>
    <w:p w14:paraId="447DECCD" w14:textId="12AC1A88" w:rsidR="00FC4045" w:rsidRPr="00637D4D" w:rsidRDefault="00FC4045" w:rsidP="00FC4045">
      <w:pPr>
        <w:rPr>
          <w:rFonts w:ascii="Times New Roman" w:hAnsi="Times New Roman" w:cs="Times New Roman"/>
        </w:rPr>
      </w:pPr>
      <w:r w:rsidRPr="00637D4D">
        <w:rPr>
          <w:rFonts w:ascii="Times New Roman" w:hAnsi="Times New Roman" w:cs="Times New Roman"/>
        </w:rPr>
        <w:t>Audit Report</w:t>
      </w:r>
      <w:r w:rsidR="00AE32E3" w:rsidRPr="00637D4D">
        <w:rPr>
          <w:rFonts w:ascii="Times New Roman" w:hAnsi="Times New Roman" w:cs="Times New Roman"/>
        </w:rPr>
        <w:t xml:space="preserve"> Expectations</w:t>
      </w:r>
    </w:p>
    <w:p w14:paraId="074BD9BD" w14:textId="74291A6B" w:rsidR="00326193" w:rsidRPr="00637D4D" w:rsidRDefault="00FC4045" w:rsidP="00FC4045">
      <w:pPr>
        <w:pStyle w:val="ListParagraph"/>
        <w:numPr>
          <w:ilvl w:val="0"/>
          <w:numId w:val="1"/>
        </w:numPr>
        <w:rPr>
          <w:rFonts w:ascii="Times New Roman" w:hAnsi="Times New Roman" w:cs="Times New Roman"/>
        </w:rPr>
      </w:pPr>
      <w:r w:rsidRPr="00637D4D">
        <w:rPr>
          <w:rFonts w:ascii="Times New Roman" w:hAnsi="Times New Roman" w:cs="Times New Roman"/>
        </w:rPr>
        <w:t>Treasurers of all congregations, foundations, and shared ministries are required to submit an audit report of all accounts (operating, discretionary funds, restricted, endowments</w:t>
      </w:r>
      <w:r w:rsidR="00326193" w:rsidRPr="00637D4D">
        <w:rPr>
          <w:rFonts w:ascii="Times New Roman" w:hAnsi="Times New Roman" w:cs="Times New Roman"/>
        </w:rPr>
        <w:t>,</w:t>
      </w:r>
      <w:r w:rsidRPr="00637D4D">
        <w:rPr>
          <w:rFonts w:ascii="Times New Roman" w:hAnsi="Times New Roman" w:cs="Times New Roman"/>
        </w:rPr>
        <w:t xml:space="preserve"> and property) prepared by</w:t>
      </w:r>
      <w:r w:rsidR="00995B0D">
        <w:rPr>
          <w:rFonts w:ascii="Times New Roman" w:hAnsi="Times New Roman" w:cs="Times New Roman"/>
        </w:rPr>
        <w:t xml:space="preserve"> one of the following</w:t>
      </w:r>
      <w:r w:rsidR="00995B0D" w:rsidRPr="00637D4D">
        <w:rPr>
          <w:rStyle w:val="FootnoteReference"/>
          <w:rFonts w:ascii="Times New Roman" w:hAnsi="Times New Roman" w:cs="Times New Roman"/>
        </w:rPr>
        <w:footnoteReference w:id="1"/>
      </w:r>
      <w:r w:rsidR="00995B0D">
        <w:rPr>
          <w:rFonts w:ascii="Times New Roman" w:hAnsi="Times New Roman" w:cs="Times New Roman"/>
        </w:rPr>
        <w:t>:</w:t>
      </w:r>
    </w:p>
    <w:p w14:paraId="0CEC6B5C" w14:textId="64DF60EA" w:rsidR="00326193" w:rsidRPr="00637D4D" w:rsidRDefault="00FC4045" w:rsidP="00326193">
      <w:pPr>
        <w:pStyle w:val="ListParagraph"/>
        <w:numPr>
          <w:ilvl w:val="1"/>
          <w:numId w:val="1"/>
        </w:numPr>
        <w:rPr>
          <w:rFonts w:ascii="Times New Roman" w:hAnsi="Times New Roman" w:cs="Times New Roman"/>
        </w:rPr>
      </w:pPr>
      <w:r w:rsidRPr="00637D4D">
        <w:rPr>
          <w:rFonts w:ascii="Times New Roman" w:hAnsi="Times New Roman" w:cs="Times New Roman"/>
        </w:rPr>
        <w:t>Certified Public Accountant</w:t>
      </w:r>
    </w:p>
    <w:p w14:paraId="664CB520" w14:textId="77777777" w:rsidR="00326193" w:rsidRPr="00637D4D" w:rsidRDefault="00326193" w:rsidP="00326193">
      <w:pPr>
        <w:pStyle w:val="ListParagraph"/>
        <w:numPr>
          <w:ilvl w:val="1"/>
          <w:numId w:val="1"/>
        </w:numPr>
        <w:rPr>
          <w:rFonts w:ascii="Times New Roman" w:hAnsi="Times New Roman" w:cs="Times New Roman"/>
        </w:rPr>
      </w:pPr>
      <w:r w:rsidRPr="00637D4D">
        <w:rPr>
          <w:rFonts w:ascii="Times New Roman" w:hAnsi="Times New Roman" w:cs="Times New Roman"/>
        </w:rPr>
        <w:t>I</w:t>
      </w:r>
      <w:r w:rsidR="00FC4045" w:rsidRPr="00637D4D">
        <w:rPr>
          <w:rFonts w:ascii="Times New Roman" w:hAnsi="Times New Roman" w:cs="Times New Roman"/>
        </w:rPr>
        <w:t>ndependent licensed public accountant</w:t>
      </w:r>
    </w:p>
    <w:p w14:paraId="166D910E" w14:textId="2C19F1AD" w:rsidR="00326193" w:rsidRPr="00637D4D" w:rsidRDefault="00326193" w:rsidP="00326193">
      <w:pPr>
        <w:pStyle w:val="ListParagraph"/>
        <w:numPr>
          <w:ilvl w:val="1"/>
          <w:numId w:val="1"/>
        </w:numPr>
        <w:rPr>
          <w:rFonts w:ascii="Times New Roman" w:hAnsi="Times New Roman" w:cs="Times New Roman"/>
        </w:rPr>
      </w:pPr>
      <w:r w:rsidRPr="00637D4D">
        <w:rPr>
          <w:rFonts w:ascii="Times New Roman" w:hAnsi="Times New Roman" w:cs="Times New Roman"/>
        </w:rPr>
        <w:t>C</w:t>
      </w:r>
      <w:r w:rsidR="00FC4045" w:rsidRPr="00637D4D">
        <w:rPr>
          <w:rFonts w:ascii="Times New Roman" w:hAnsi="Times New Roman" w:cs="Times New Roman"/>
        </w:rPr>
        <w:t>ommittee authorized by the Finance Committe</w:t>
      </w:r>
      <w:r w:rsidRPr="00637D4D">
        <w:rPr>
          <w:rFonts w:ascii="Times New Roman" w:hAnsi="Times New Roman" w:cs="Times New Roman"/>
        </w:rPr>
        <w:t>e</w:t>
      </w:r>
    </w:p>
    <w:p w14:paraId="1FAA2DBE" w14:textId="5C7160AB" w:rsidR="006179AC" w:rsidRPr="00637D4D" w:rsidRDefault="00326193" w:rsidP="00ED5569">
      <w:pPr>
        <w:pStyle w:val="ListParagraph"/>
        <w:numPr>
          <w:ilvl w:val="1"/>
          <w:numId w:val="1"/>
        </w:numPr>
        <w:rPr>
          <w:rFonts w:ascii="Times New Roman" w:hAnsi="Times New Roman" w:cs="Times New Roman"/>
        </w:rPr>
      </w:pPr>
      <w:r w:rsidRPr="00637D4D">
        <w:rPr>
          <w:rFonts w:ascii="Times New Roman" w:hAnsi="Times New Roman" w:cs="Times New Roman"/>
        </w:rPr>
        <w:t>O</w:t>
      </w:r>
      <w:r w:rsidR="00FC4045" w:rsidRPr="00637D4D">
        <w:rPr>
          <w:rFonts w:ascii="Times New Roman" w:hAnsi="Times New Roman" w:cs="Times New Roman"/>
        </w:rPr>
        <w:t xml:space="preserve">ther appropriate diocesan </w:t>
      </w:r>
      <w:r w:rsidRPr="00637D4D">
        <w:rPr>
          <w:rFonts w:ascii="Times New Roman" w:hAnsi="Times New Roman" w:cs="Times New Roman"/>
        </w:rPr>
        <w:t xml:space="preserve">authority </w:t>
      </w:r>
    </w:p>
    <w:p w14:paraId="2DC04CDA" w14:textId="74A3BCCA" w:rsidR="00AE32E3" w:rsidRPr="00637D4D" w:rsidRDefault="00AE32E3" w:rsidP="00AE32E3">
      <w:pPr>
        <w:pStyle w:val="ListParagraph"/>
        <w:numPr>
          <w:ilvl w:val="0"/>
          <w:numId w:val="1"/>
        </w:numPr>
        <w:rPr>
          <w:rFonts w:ascii="Times New Roman" w:hAnsi="Times New Roman" w:cs="Times New Roman"/>
        </w:rPr>
      </w:pPr>
      <w:r w:rsidRPr="00637D4D">
        <w:rPr>
          <w:rFonts w:ascii="Times New Roman" w:hAnsi="Times New Roman" w:cs="Times New Roman"/>
        </w:rPr>
        <w:t xml:space="preserve">Deadlines and Submissions: </w:t>
      </w:r>
    </w:p>
    <w:p w14:paraId="058A1231" w14:textId="08501941" w:rsidR="00AE32E3" w:rsidRPr="00637D4D" w:rsidRDefault="00AE32E3" w:rsidP="00AE32E3">
      <w:pPr>
        <w:pStyle w:val="ListParagraph"/>
        <w:numPr>
          <w:ilvl w:val="1"/>
          <w:numId w:val="1"/>
        </w:numPr>
        <w:rPr>
          <w:rFonts w:ascii="Times New Roman" w:hAnsi="Times New Roman" w:cs="Times New Roman"/>
        </w:rPr>
      </w:pPr>
      <w:r w:rsidRPr="00637D4D">
        <w:rPr>
          <w:rFonts w:ascii="Times New Roman" w:hAnsi="Times New Roman" w:cs="Times New Roman"/>
        </w:rPr>
        <w:t xml:space="preserve">Audit reports, including any memorandum issued by the auditors or audit committee regarding internal control and summaries of actions taken to correct deficiencies, must be submitted to the Finance Office of the Diocese of Ohio by </w:t>
      </w:r>
      <w:r w:rsidRPr="00637D4D">
        <w:rPr>
          <w:rFonts w:ascii="Times New Roman" w:hAnsi="Times New Roman" w:cs="Times New Roman"/>
          <w:b/>
          <w:bCs/>
        </w:rPr>
        <w:t xml:space="preserve">July 1, </w:t>
      </w:r>
      <w:r w:rsidR="00FC7380" w:rsidRPr="00637D4D">
        <w:rPr>
          <w:rFonts w:ascii="Times New Roman" w:hAnsi="Times New Roman" w:cs="Times New Roman"/>
          <w:b/>
          <w:bCs/>
        </w:rPr>
        <w:t>2026,</w:t>
      </w:r>
      <w:r w:rsidRPr="00637D4D">
        <w:rPr>
          <w:rFonts w:ascii="Times New Roman" w:hAnsi="Times New Roman" w:cs="Times New Roman"/>
        </w:rPr>
        <w:t xml:space="preserve"> at the latest. </w:t>
      </w:r>
    </w:p>
    <w:p w14:paraId="3F8C658B" w14:textId="056A3561" w:rsidR="00AE32E3" w:rsidRPr="00637D4D" w:rsidRDefault="00AE32E3" w:rsidP="00AE32E3">
      <w:pPr>
        <w:pStyle w:val="ListParagraph"/>
        <w:numPr>
          <w:ilvl w:val="1"/>
          <w:numId w:val="1"/>
        </w:numPr>
        <w:rPr>
          <w:rFonts w:ascii="Times New Roman" w:hAnsi="Times New Roman" w:cs="Times New Roman"/>
        </w:rPr>
      </w:pPr>
      <w:r w:rsidRPr="00637D4D">
        <w:rPr>
          <w:rFonts w:ascii="Times New Roman" w:hAnsi="Times New Roman" w:cs="Times New Roman"/>
        </w:rPr>
        <w:t xml:space="preserve">Audit reports must be submitted no later than 30 days after the completion of </w:t>
      </w:r>
      <w:r w:rsidR="006F5407" w:rsidRPr="00637D4D">
        <w:rPr>
          <w:rFonts w:ascii="Times New Roman" w:hAnsi="Times New Roman" w:cs="Times New Roman"/>
        </w:rPr>
        <w:t>the audit</w:t>
      </w:r>
      <w:r w:rsidRPr="00637D4D">
        <w:rPr>
          <w:rFonts w:ascii="Times New Roman" w:hAnsi="Times New Roman" w:cs="Times New Roman"/>
        </w:rPr>
        <w:t xml:space="preserve">.  </w:t>
      </w:r>
    </w:p>
    <w:p w14:paraId="4C8CC868" w14:textId="74F78D51" w:rsidR="00052768" w:rsidRPr="00073F5B" w:rsidRDefault="00FC4045" w:rsidP="00073F5B">
      <w:pPr>
        <w:pStyle w:val="ListParagraph"/>
        <w:numPr>
          <w:ilvl w:val="1"/>
          <w:numId w:val="1"/>
        </w:numPr>
        <w:rPr>
          <w:rFonts w:ascii="Times New Roman" w:hAnsi="Times New Roman" w:cs="Times New Roman"/>
        </w:rPr>
      </w:pPr>
      <w:r w:rsidRPr="00637D4D">
        <w:rPr>
          <w:rFonts w:ascii="Times New Roman" w:hAnsi="Times New Roman" w:cs="Times New Roman"/>
        </w:rPr>
        <w:t>While a full CPA audit is preferred for parishes and shared ministries, recognizing the cost involved,</w:t>
      </w:r>
      <w:r w:rsidR="00FC7380" w:rsidRPr="00637D4D">
        <w:rPr>
          <w:rFonts w:ascii="Times New Roman" w:hAnsi="Times New Roman" w:cs="Times New Roman"/>
        </w:rPr>
        <w:t xml:space="preserve"> </w:t>
      </w:r>
      <w:r w:rsidRPr="00073F5B">
        <w:rPr>
          <w:rFonts w:ascii="Times New Roman" w:hAnsi="Times New Roman" w:cs="Times New Roman"/>
          <w:b/>
          <w:bCs/>
          <w:i/>
          <w:iCs/>
        </w:rPr>
        <w:t>Minimum Audit Guidelines</w:t>
      </w:r>
      <w:r w:rsidRPr="00637D4D">
        <w:rPr>
          <w:rFonts w:ascii="Times New Roman" w:hAnsi="Times New Roman" w:cs="Times New Roman"/>
        </w:rPr>
        <w:t xml:space="preserve"> have been established.  If special circumstances arise at a parish, the Finance Committee may recommend specific changes to the nature and scop</w:t>
      </w:r>
      <w:r w:rsidRPr="00073F5B">
        <w:rPr>
          <w:rFonts w:ascii="Times New Roman" w:hAnsi="Times New Roman" w:cs="Times New Roman"/>
        </w:rPr>
        <w:t>e of the audit</w:t>
      </w:r>
      <w:r w:rsidR="00FC7380" w:rsidRPr="00073F5B">
        <w:rPr>
          <w:rFonts w:ascii="Times New Roman" w:hAnsi="Times New Roman" w:cs="Times New Roman"/>
        </w:rPr>
        <w:t>.</w:t>
      </w:r>
    </w:p>
    <w:p w14:paraId="0C2CA35A" w14:textId="5A29A4AA" w:rsidR="00052768" w:rsidRPr="00637D4D" w:rsidRDefault="00052768" w:rsidP="00052768">
      <w:pPr>
        <w:pStyle w:val="ListParagraph"/>
        <w:numPr>
          <w:ilvl w:val="0"/>
          <w:numId w:val="4"/>
        </w:numPr>
        <w:ind w:left="720"/>
        <w:rPr>
          <w:rFonts w:ascii="Times New Roman" w:hAnsi="Times New Roman" w:cs="Times New Roman"/>
        </w:rPr>
      </w:pPr>
      <w:r w:rsidRPr="00637D4D">
        <w:rPr>
          <w:rFonts w:ascii="Times New Roman" w:hAnsi="Times New Roman" w:cs="Times New Roman"/>
        </w:rPr>
        <w:t xml:space="preserve">Neither a review nor a compilation is acceptable in place of an audit of a parish, mission, or other institution of the church. </w:t>
      </w:r>
      <w:r w:rsidRPr="00637D4D">
        <w:rPr>
          <w:rStyle w:val="FootnoteReference"/>
          <w:rFonts w:ascii="Times New Roman" w:hAnsi="Times New Roman" w:cs="Times New Roman"/>
        </w:rPr>
        <w:footnoteReference w:id="2"/>
      </w:r>
    </w:p>
    <w:p w14:paraId="27836A65" w14:textId="77777777" w:rsidR="00052768" w:rsidRPr="00637D4D" w:rsidRDefault="00052768" w:rsidP="00052768">
      <w:pPr>
        <w:pStyle w:val="ListParagraph"/>
        <w:numPr>
          <w:ilvl w:val="0"/>
          <w:numId w:val="4"/>
        </w:numPr>
        <w:ind w:left="720"/>
        <w:rPr>
          <w:rFonts w:ascii="Times New Roman" w:hAnsi="Times New Roman" w:cs="Times New Roman"/>
        </w:rPr>
      </w:pPr>
      <w:r w:rsidRPr="00637D4D">
        <w:rPr>
          <w:rFonts w:ascii="Times New Roman" w:hAnsi="Times New Roman" w:cs="Times New Roman"/>
        </w:rPr>
        <w:t xml:space="preserve">All Committee Audits must follow the procedures prescribed by the Business Methods of the Episcopal Church.  </w:t>
      </w:r>
    </w:p>
    <w:p w14:paraId="568A214E" w14:textId="5A2DB0BD" w:rsidR="00052768" w:rsidRDefault="00052768" w:rsidP="00052768">
      <w:pPr>
        <w:pStyle w:val="ListParagraph"/>
        <w:numPr>
          <w:ilvl w:val="0"/>
          <w:numId w:val="4"/>
        </w:numPr>
        <w:ind w:left="720"/>
        <w:rPr>
          <w:rFonts w:ascii="Times New Roman" w:hAnsi="Times New Roman" w:cs="Times New Roman"/>
        </w:rPr>
      </w:pPr>
      <w:r w:rsidRPr="00637D4D">
        <w:rPr>
          <w:rFonts w:ascii="Times New Roman" w:hAnsi="Times New Roman" w:cs="Times New Roman"/>
        </w:rPr>
        <w:t>Assistance in implementing these requirements is available through the Finance Office.</w:t>
      </w:r>
    </w:p>
    <w:p w14:paraId="4F62850A" w14:textId="02683758" w:rsidR="00052768" w:rsidRPr="00637D4D" w:rsidRDefault="00052768" w:rsidP="00822364">
      <w:pPr>
        <w:spacing w:before="100" w:beforeAutospacing="1" w:after="100" w:afterAutospacing="1" w:line="240" w:lineRule="auto"/>
        <w:jc w:val="center"/>
        <w:rPr>
          <w:rFonts w:ascii="Times New Roman" w:hAnsi="Times New Roman" w:cs="Times New Roman"/>
          <w:b/>
          <w:bCs/>
          <w:sz w:val="28"/>
          <w:szCs w:val="28"/>
        </w:rPr>
      </w:pPr>
      <w:r w:rsidRPr="00637D4D">
        <w:rPr>
          <w:rFonts w:ascii="Times New Roman" w:hAnsi="Times New Roman" w:cs="Times New Roman"/>
        </w:rPr>
        <w:br w:type="page"/>
      </w:r>
      <w:r w:rsidRPr="00637D4D">
        <w:rPr>
          <w:rFonts w:ascii="Times New Roman" w:hAnsi="Times New Roman" w:cs="Times New Roman"/>
          <w:b/>
          <w:bCs/>
          <w:sz w:val="28"/>
          <w:szCs w:val="28"/>
        </w:rPr>
        <w:lastRenderedPageBreak/>
        <w:t>Minimum Audit Guidelines</w:t>
      </w:r>
    </w:p>
    <w:tbl>
      <w:tblPr>
        <w:tblStyle w:val="TableGrid"/>
        <w:tblW w:w="10409" w:type="dxa"/>
        <w:tblLook w:val="04A0" w:firstRow="1" w:lastRow="0" w:firstColumn="1" w:lastColumn="0" w:noHBand="0" w:noVBand="1"/>
      </w:tblPr>
      <w:tblGrid>
        <w:gridCol w:w="3469"/>
        <w:gridCol w:w="3470"/>
        <w:gridCol w:w="3470"/>
      </w:tblGrid>
      <w:tr w:rsidR="00FC4045" w:rsidRPr="00637D4D" w14:paraId="4AD21236" w14:textId="77777777" w:rsidTr="006179AC">
        <w:trPr>
          <w:trHeight w:val="590"/>
        </w:trPr>
        <w:tc>
          <w:tcPr>
            <w:tcW w:w="3469" w:type="dxa"/>
          </w:tcPr>
          <w:p w14:paraId="32A078A8" w14:textId="5864E1A7" w:rsidR="00FC4045" w:rsidRPr="00637D4D" w:rsidRDefault="00FC4045" w:rsidP="00C61482">
            <w:pPr>
              <w:rPr>
                <w:rFonts w:ascii="Times New Roman" w:hAnsi="Times New Roman" w:cs="Times New Roman"/>
                <w:b/>
                <w:bCs/>
              </w:rPr>
            </w:pPr>
            <w:r w:rsidRPr="00637D4D">
              <w:rPr>
                <w:rFonts w:ascii="Times New Roman" w:hAnsi="Times New Roman" w:cs="Times New Roman"/>
                <w:b/>
                <w:bCs/>
              </w:rPr>
              <w:t>Average “Total Expenses” Parochial Report Line B*</w:t>
            </w:r>
          </w:p>
        </w:tc>
        <w:tc>
          <w:tcPr>
            <w:tcW w:w="3470" w:type="dxa"/>
          </w:tcPr>
          <w:p w14:paraId="51419B46" w14:textId="77777777" w:rsidR="00FC4045" w:rsidRPr="00637D4D" w:rsidRDefault="00FC4045" w:rsidP="00C61482">
            <w:pPr>
              <w:rPr>
                <w:rFonts w:ascii="Times New Roman" w:hAnsi="Times New Roman" w:cs="Times New Roman"/>
                <w:b/>
                <w:bCs/>
              </w:rPr>
            </w:pPr>
            <w:r w:rsidRPr="00637D4D">
              <w:rPr>
                <w:rFonts w:ascii="Times New Roman" w:hAnsi="Times New Roman" w:cs="Times New Roman"/>
                <w:b/>
                <w:bCs/>
              </w:rPr>
              <w:t xml:space="preserve">Type of Audit  </w:t>
            </w:r>
          </w:p>
        </w:tc>
        <w:tc>
          <w:tcPr>
            <w:tcW w:w="3470" w:type="dxa"/>
          </w:tcPr>
          <w:p w14:paraId="5CEEA8E4" w14:textId="77777777" w:rsidR="00FC4045" w:rsidRPr="00637D4D" w:rsidRDefault="00FC4045" w:rsidP="00C61482">
            <w:pPr>
              <w:rPr>
                <w:rFonts w:ascii="Times New Roman" w:hAnsi="Times New Roman" w:cs="Times New Roman"/>
                <w:b/>
                <w:bCs/>
              </w:rPr>
            </w:pPr>
            <w:r w:rsidRPr="00637D4D">
              <w:rPr>
                <w:rFonts w:ascii="Times New Roman" w:hAnsi="Times New Roman" w:cs="Times New Roman"/>
                <w:b/>
                <w:bCs/>
              </w:rPr>
              <w:t>Frequency</w:t>
            </w:r>
          </w:p>
        </w:tc>
      </w:tr>
      <w:tr w:rsidR="00FC4045" w:rsidRPr="00637D4D" w14:paraId="656AE781" w14:textId="77777777" w:rsidTr="006179AC">
        <w:trPr>
          <w:trHeight w:val="590"/>
        </w:trPr>
        <w:tc>
          <w:tcPr>
            <w:tcW w:w="3469" w:type="dxa"/>
          </w:tcPr>
          <w:p w14:paraId="462F0448"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$750,000 or greater  </w:t>
            </w:r>
          </w:p>
          <w:p w14:paraId="14C41095" w14:textId="77777777" w:rsidR="00FC4045" w:rsidRPr="00637D4D" w:rsidRDefault="00FC4045" w:rsidP="00C61482">
            <w:pPr>
              <w:rPr>
                <w:rFonts w:ascii="Times New Roman" w:hAnsi="Times New Roman" w:cs="Times New Roman"/>
              </w:rPr>
            </w:pPr>
          </w:p>
        </w:tc>
        <w:tc>
          <w:tcPr>
            <w:tcW w:w="3470" w:type="dxa"/>
          </w:tcPr>
          <w:p w14:paraId="40BCD01D"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CPA or AUP   </w:t>
            </w:r>
          </w:p>
        </w:tc>
        <w:tc>
          <w:tcPr>
            <w:tcW w:w="3470" w:type="dxa"/>
          </w:tcPr>
          <w:p w14:paraId="2688B3EA"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Annually</w:t>
            </w:r>
          </w:p>
        </w:tc>
      </w:tr>
      <w:tr w:rsidR="00FC4045" w:rsidRPr="00637D4D" w14:paraId="3E5725D0" w14:textId="77777777" w:rsidTr="006179AC">
        <w:trPr>
          <w:trHeight w:val="879"/>
        </w:trPr>
        <w:tc>
          <w:tcPr>
            <w:tcW w:w="3469" w:type="dxa"/>
          </w:tcPr>
          <w:p w14:paraId="5140355A"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$562,500 or greater, but less than $750,000</w:t>
            </w:r>
          </w:p>
          <w:p w14:paraId="274B9058" w14:textId="77777777" w:rsidR="00FC4045" w:rsidRPr="00637D4D" w:rsidRDefault="00FC4045" w:rsidP="00C61482">
            <w:pPr>
              <w:rPr>
                <w:rFonts w:ascii="Times New Roman" w:hAnsi="Times New Roman" w:cs="Times New Roman"/>
              </w:rPr>
            </w:pPr>
          </w:p>
        </w:tc>
        <w:tc>
          <w:tcPr>
            <w:tcW w:w="3470" w:type="dxa"/>
          </w:tcPr>
          <w:p w14:paraId="18ED40DC"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CPA/AUP or Audit Team</w:t>
            </w:r>
          </w:p>
        </w:tc>
        <w:tc>
          <w:tcPr>
            <w:tcW w:w="3470" w:type="dxa"/>
          </w:tcPr>
          <w:p w14:paraId="60DDF6EF"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Annually</w:t>
            </w:r>
          </w:p>
        </w:tc>
      </w:tr>
      <w:tr w:rsidR="00FC4045" w:rsidRPr="00637D4D" w14:paraId="7094FC4E" w14:textId="77777777" w:rsidTr="006179AC">
        <w:trPr>
          <w:trHeight w:val="879"/>
        </w:trPr>
        <w:tc>
          <w:tcPr>
            <w:tcW w:w="3469" w:type="dxa"/>
          </w:tcPr>
          <w:p w14:paraId="30526120"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$187,500 or greater, but less than $562,500</w:t>
            </w:r>
          </w:p>
        </w:tc>
        <w:tc>
          <w:tcPr>
            <w:tcW w:w="3470" w:type="dxa"/>
          </w:tcPr>
          <w:p w14:paraId="6364C3D1"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Audit Team</w:t>
            </w:r>
          </w:p>
          <w:p w14:paraId="2BB915CC"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Committee Audit  </w:t>
            </w:r>
          </w:p>
        </w:tc>
        <w:tc>
          <w:tcPr>
            <w:tcW w:w="3470" w:type="dxa"/>
          </w:tcPr>
          <w:p w14:paraId="76860A06" w14:textId="5A5E7302"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1 </w:t>
            </w:r>
            <w:r w:rsidR="006179AC" w:rsidRPr="00637D4D">
              <w:rPr>
                <w:rFonts w:ascii="Times New Roman" w:hAnsi="Times New Roman" w:cs="Times New Roman"/>
              </w:rPr>
              <w:t>in</w:t>
            </w:r>
            <w:r w:rsidRPr="00637D4D">
              <w:rPr>
                <w:rFonts w:ascii="Times New Roman" w:hAnsi="Times New Roman" w:cs="Times New Roman"/>
              </w:rPr>
              <w:t xml:space="preserve"> every 3 years</w:t>
            </w:r>
          </w:p>
          <w:p w14:paraId="0F3B7CFF" w14:textId="746EFA14"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2 </w:t>
            </w:r>
            <w:r w:rsidR="006179AC" w:rsidRPr="00637D4D">
              <w:rPr>
                <w:rFonts w:ascii="Times New Roman" w:hAnsi="Times New Roman" w:cs="Times New Roman"/>
              </w:rPr>
              <w:t xml:space="preserve">out </w:t>
            </w:r>
            <w:r w:rsidRPr="00637D4D">
              <w:rPr>
                <w:rFonts w:ascii="Times New Roman" w:hAnsi="Times New Roman" w:cs="Times New Roman"/>
              </w:rPr>
              <w:t>of every 3 years</w:t>
            </w:r>
          </w:p>
          <w:p w14:paraId="7836FD01" w14:textId="77777777" w:rsidR="00FC4045" w:rsidRPr="00637D4D" w:rsidRDefault="00FC4045" w:rsidP="00C61482">
            <w:pPr>
              <w:rPr>
                <w:rFonts w:ascii="Times New Roman" w:hAnsi="Times New Roman" w:cs="Times New Roman"/>
              </w:rPr>
            </w:pPr>
          </w:p>
        </w:tc>
      </w:tr>
      <w:tr w:rsidR="00FC4045" w:rsidRPr="00637D4D" w14:paraId="7B4B5D46" w14:textId="77777777" w:rsidTr="006179AC">
        <w:trPr>
          <w:trHeight w:val="578"/>
        </w:trPr>
        <w:tc>
          <w:tcPr>
            <w:tcW w:w="3469" w:type="dxa"/>
          </w:tcPr>
          <w:p w14:paraId="1EA040BD"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Less than $187,500  </w:t>
            </w:r>
          </w:p>
          <w:p w14:paraId="04E044A4" w14:textId="77777777" w:rsidR="00FC4045" w:rsidRPr="00637D4D" w:rsidRDefault="00FC4045" w:rsidP="00C61482">
            <w:pPr>
              <w:rPr>
                <w:rFonts w:ascii="Times New Roman" w:hAnsi="Times New Roman" w:cs="Times New Roman"/>
              </w:rPr>
            </w:pPr>
          </w:p>
        </w:tc>
        <w:tc>
          <w:tcPr>
            <w:tcW w:w="3470" w:type="dxa"/>
          </w:tcPr>
          <w:p w14:paraId="2AB600FA"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Audit Team</w:t>
            </w:r>
          </w:p>
          <w:p w14:paraId="23502F8B" w14:textId="77777777"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Committee Audit  </w:t>
            </w:r>
          </w:p>
        </w:tc>
        <w:tc>
          <w:tcPr>
            <w:tcW w:w="3470" w:type="dxa"/>
          </w:tcPr>
          <w:p w14:paraId="563CAE3A" w14:textId="2DE1ACC3"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1 </w:t>
            </w:r>
            <w:r w:rsidR="006179AC" w:rsidRPr="00637D4D">
              <w:rPr>
                <w:rFonts w:ascii="Times New Roman" w:hAnsi="Times New Roman" w:cs="Times New Roman"/>
              </w:rPr>
              <w:t>in</w:t>
            </w:r>
            <w:r w:rsidRPr="00637D4D">
              <w:rPr>
                <w:rFonts w:ascii="Times New Roman" w:hAnsi="Times New Roman" w:cs="Times New Roman"/>
              </w:rPr>
              <w:t xml:space="preserve"> every 4 years</w:t>
            </w:r>
          </w:p>
          <w:p w14:paraId="70F4D2E4" w14:textId="45AD75BA" w:rsidR="00FC4045" w:rsidRPr="00637D4D" w:rsidRDefault="00FC4045" w:rsidP="00C61482">
            <w:pPr>
              <w:rPr>
                <w:rFonts w:ascii="Times New Roman" w:hAnsi="Times New Roman" w:cs="Times New Roman"/>
              </w:rPr>
            </w:pPr>
            <w:r w:rsidRPr="00637D4D">
              <w:rPr>
                <w:rFonts w:ascii="Times New Roman" w:hAnsi="Times New Roman" w:cs="Times New Roman"/>
              </w:rPr>
              <w:t xml:space="preserve">3 </w:t>
            </w:r>
            <w:r w:rsidR="006179AC" w:rsidRPr="00637D4D">
              <w:rPr>
                <w:rFonts w:ascii="Times New Roman" w:hAnsi="Times New Roman" w:cs="Times New Roman"/>
              </w:rPr>
              <w:t xml:space="preserve">out </w:t>
            </w:r>
            <w:r w:rsidRPr="00637D4D">
              <w:rPr>
                <w:rFonts w:ascii="Times New Roman" w:hAnsi="Times New Roman" w:cs="Times New Roman"/>
              </w:rPr>
              <w:t>of every 4 years</w:t>
            </w:r>
          </w:p>
        </w:tc>
      </w:tr>
    </w:tbl>
    <w:p w14:paraId="7557D2BE" w14:textId="4A9C831B" w:rsidR="006179AC" w:rsidRPr="00637D4D" w:rsidRDefault="00FC4045" w:rsidP="00FC4045">
      <w:pPr>
        <w:rPr>
          <w:rFonts w:ascii="Times New Roman" w:hAnsi="Times New Roman" w:cs="Times New Roman"/>
          <w:i/>
          <w:iCs/>
          <w:sz w:val="20"/>
          <w:szCs w:val="20"/>
        </w:rPr>
      </w:pPr>
      <w:r w:rsidRPr="00637D4D">
        <w:rPr>
          <w:rFonts w:ascii="Times New Roman" w:hAnsi="Times New Roman" w:cs="Times New Roman"/>
        </w:rPr>
        <w:t xml:space="preserve"> </w:t>
      </w:r>
      <w:r w:rsidRPr="00637D4D">
        <w:rPr>
          <w:rFonts w:ascii="Times New Roman" w:hAnsi="Times New Roman" w:cs="Times New Roman"/>
          <w:i/>
          <w:iCs/>
          <w:sz w:val="20"/>
          <w:szCs w:val="20"/>
        </w:rPr>
        <w:t>*Average Total Expenses are calculated by averaging the Total Expenses (Line B) for the current audit year and the two trailing years.</w:t>
      </w:r>
    </w:p>
    <w:p w14:paraId="54F507EA" w14:textId="6EA0DA39" w:rsidR="006179AC" w:rsidRPr="00637D4D" w:rsidRDefault="006179AC" w:rsidP="00052768">
      <w:pPr>
        <w:jc w:val="center"/>
        <w:rPr>
          <w:rFonts w:ascii="Times New Roman" w:hAnsi="Times New Roman" w:cs="Times New Roman"/>
          <w:b/>
          <w:bCs/>
          <w:sz w:val="28"/>
          <w:szCs w:val="28"/>
        </w:rPr>
      </w:pPr>
      <w:r w:rsidRPr="00637D4D">
        <w:rPr>
          <w:rFonts w:ascii="Times New Roman" w:hAnsi="Times New Roman" w:cs="Times New Roman"/>
          <w:b/>
          <w:bCs/>
          <w:sz w:val="28"/>
          <w:szCs w:val="28"/>
        </w:rPr>
        <w:t>Financial Statement Audit Defined by Audit Type</w:t>
      </w:r>
    </w:p>
    <w:p w14:paraId="643A3A52" w14:textId="7515E242" w:rsidR="006179AC" w:rsidRPr="00637D4D" w:rsidRDefault="006179AC" w:rsidP="006179AC">
      <w:pPr>
        <w:ind w:left="360"/>
        <w:rPr>
          <w:rFonts w:ascii="Times New Roman" w:hAnsi="Times New Roman" w:cs="Times New Roman"/>
          <w:b/>
          <w:bCs/>
        </w:rPr>
      </w:pPr>
      <w:r w:rsidRPr="00637D4D">
        <w:rPr>
          <w:rFonts w:ascii="Times New Roman" w:hAnsi="Times New Roman" w:cs="Times New Roman"/>
          <w:b/>
          <w:bCs/>
        </w:rPr>
        <w:t xml:space="preserve">CPA/AUP </w:t>
      </w:r>
    </w:p>
    <w:p w14:paraId="7687EEED" w14:textId="77777777" w:rsidR="00C1461F" w:rsidRPr="00637D4D" w:rsidRDefault="00FC4045" w:rsidP="00FC7380">
      <w:pPr>
        <w:pStyle w:val="ListParagraph"/>
        <w:numPr>
          <w:ilvl w:val="0"/>
          <w:numId w:val="2"/>
        </w:numPr>
        <w:rPr>
          <w:rFonts w:ascii="Times New Roman" w:hAnsi="Times New Roman" w:cs="Times New Roman"/>
        </w:rPr>
      </w:pPr>
      <w:r w:rsidRPr="00637D4D">
        <w:rPr>
          <w:rFonts w:ascii="Times New Roman" w:hAnsi="Times New Roman" w:cs="Times New Roman"/>
        </w:rPr>
        <w:t xml:space="preserve">All Agreed Upon Procedures (AUP) engagements must follow the scope, process, and reporting guidelines provided by the Finance Office. Parishes that have an independent audit must report any change in CPA or CPA firm to the Finance office, along with an explanation for the change.  </w:t>
      </w:r>
    </w:p>
    <w:p w14:paraId="15AA4BE7" w14:textId="4A0433D9" w:rsidR="006179AC" w:rsidRPr="00637D4D" w:rsidRDefault="00FC4045" w:rsidP="006179AC">
      <w:pPr>
        <w:pStyle w:val="ListParagraph"/>
        <w:numPr>
          <w:ilvl w:val="0"/>
          <w:numId w:val="2"/>
        </w:numPr>
        <w:rPr>
          <w:rFonts w:ascii="Times New Roman" w:hAnsi="Times New Roman" w:cs="Times New Roman"/>
        </w:rPr>
      </w:pPr>
      <w:r w:rsidRPr="00637D4D">
        <w:rPr>
          <w:rFonts w:ascii="Times New Roman" w:hAnsi="Times New Roman" w:cs="Times New Roman"/>
        </w:rPr>
        <w:t xml:space="preserve">The vestry of the parish must approve any change in CPA or CPA firm. </w:t>
      </w:r>
    </w:p>
    <w:p w14:paraId="79079A7C" w14:textId="1632BC71" w:rsidR="006179AC" w:rsidRPr="00637D4D" w:rsidRDefault="006179AC" w:rsidP="006179AC">
      <w:pPr>
        <w:ind w:left="360"/>
        <w:rPr>
          <w:rFonts w:ascii="Times New Roman" w:hAnsi="Times New Roman" w:cs="Times New Roman"/>
          <w:b/>
          <w:bCs/>
        </w:rPr>
      </w:pPr>
      <w:r w:rsidRPr="00637D4D">
        <w:rPr>
          <w:rFonts w:ascii="Times New Roman" w:hAnsi="Times New Roman" w:cs="Times New Roman"/>
          <w:b/>
          <w:bCs/>
        </w:rPr>
        <w:t>Audit Team</w:t>
      </w:r>
    </w:p>
    <w:p w14:paraId="1CBA4954" w14:textId="77777777" w:rsidR="00C1461F" w:rsidRPr="00637D4D" w:rsidRDefault="00FC4045" w:rsidP="00FC7380">
      <w:pPr>
        <w:pStyle w:val="ListParagraph"/>
        <w:numPr>
          <w:ilvl w:val="0"/>
          <w:numId w:val="2"/>
        </w:numPr>
        <w:rPr>
          <w:rFonts w:ascii="Times New Roman" w:hAnsi="Times New Roman" w:cs="Times New Roman"/>
        </w:rPr>
      </w:pPr>
      <w:r w:rsidRPr="00637D4D">
        <w:rPr>
          <w:rFonts w:ascii="Times New Roman" w:hAnsi="Times New Roman" w:cs="Times New Roman"/>
        </w:rPr>
        <w:t xml:space="preserve">The Diocesan Audit Team consists of volunteers from other parishes who are CPA’s or have strong financial backgrounds.  </w:t>
      </w:r>
    </w:p>
    <w:p w14:paraId="1E701509" w14:textId="3F8FBC8A" w:rsidR="006179AC" w:rsidRPr="00637D4D" w:rsidRDefault="00FC4045" w:rsidP="006179AC">
      <w:pPr>
        <w:pStyle w:val="ListParagraph"/>
        <w:numPr>
          <w:ilvl w:val="0"/>
          <w:numId w:val="2"/>
        </w:numPr>
        <w:rPr>
          <w:rFonts w:ascii="Times New Roman" w:hAnsi="Times New Roman" w:cs="Times New Roman"/>
        </w:rPr>
      </w:pPr>
      <w:r w:rsidRPr="00637D4D">
        <w:rPr>
          <w:rFonts w:ascii="Times New Roman" w:hAnsi="Times New Roman" w:cs="Times New Roman"/>
        </w:rPr>
        <w:t xml:space="preserve">They will perform an audit of the parish's financial reports and internal controls to ensure compliance with Diocesan standards.  </w:t>
      </w:r>
    </w:p>
    <w:p w14:paraId="0147C615" w14:textId="0D8D2AFD" w:rsidR="006179AC" w:rsidRPr="00637D4D" w:rsidRDefault="006179AC" w:rsidP="006179AC">
      <w:pPr>
        <w:ind w:left="360"/>
        <w:rPr>
          <w:rFonts w:ascii="Times New Roman" w:hAnsi="Times New Roman" w:cs="Times New Roman"/>
          <w:b/>
          <w:bCs/>
        </w:rPr>
      </w:pPr>
      <w:r w:rsidRPr="00637D4D">
        <w:rPr>
          <w:rFonts w:ascii="Times New Roman" w:hAnsi="Times New Roman" w:cs="Times New Roman"/>
          <w:b/>
          <w:bCs/>
        </w:rPr>
        <w:t>Audit Committee</w:t>
      </w:r>
    </w:p>
    <w:p w14:paraId="4F3E8B96" w14:textId="77777777" w:rsidR="00C1461F" w:rsidRPr="00637D4D" w:rsidRDefault="00FC4045" w:rsidP="00FC7380">
      <w:pPr>
        <w:pStyle w:val="ListParagraph"/>
        <w:numPr>
          <w:ilvl w:val="0"/>
          <w:numId w:val="2"/>
        </w:numPr>
        <w:rPr>
          <w:rFonts w:ascii="Times New Roman" w:hAnsi="Times New Roman" w:cs="Times New Roman"/>
        </w:rPr>
      </w:pPr>
      <w:r w:rsidRPr="00637D4D">
        <w:rPr>
          <w:rFonts w:ascii="Times New Roman" w:hAnsi="Times New Roman" w:cs="Times New Roman"/>
        </w:rPr>
        <w:t xml:space="preserve">The Audit Committee consists of volunteers from the parish who have strong financial backgrounds.  </w:t>
      </w:r>
    </w:p>
    <w:p w14:paraId="4546F8A2" w14:textId="2D7DE2FE" w:rsidR="00FC4045" w:rsidRPr="00637D4D" w:rsidRDefault="00FC4045" w:rsidP="00FC7380">
      <w:pPr>
        <w:pStyle w:val="ListParagraph"/>
        <w:numPr>
          <w:ilvl w:val="0"/>
          <w:numId w:val="2"/>
        </w:numPr>
        <w:rPr>
          <w:rFonts w:ascii="Times New Roman" w:hAnsi="Times New Roman" w:cs="Times New Roman"/>
        </w:rPr>
      </w:pPr>
      <w:r w:rsidRPr="00637D4D">
        <w:rPr>
          <w:rFonts w:ascii="Times New Roman" w:hAnsi="Times New Roman" w:cs="Times New Roman"/>
        </w:rPr>
        <w:t xml:space="preserve">They will perform an audit of the parish's financial reports and internal controls to ensure compliance with Diocesan standards. </w:t>
      </w:r>
    </w:p>
    <w:p w14:paraId="232CFCFE" w14:textId="77777777" w:rsidR="00FC7380" w:rsidRPr="00637D4D" w:rsidRDefault="00FC7380" w:rsidP="006F5407">
      <w:pPr>
        <w:rPr>
          <w:rFonts w:ascii="Times New Roman" w:hAnsi="Times New Roman" w:cs="Times New Roman"/>
        </w:rPr>
      </w:pPr>
    </w:p>
    <w:sectPr w:rsidR="00FC7380" w:rsidRPr="00637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FD51" w14:textId="77777777" w:rsidR="005B1F5E" w:rsidRDefault="005B1F5E" w:rsidP="00ED5569">
      <w:pPr>
        <w:spacing w:after="0" w:line="240" w:lineRule="auto"/>
      </w:pPr>
      <w:r>
        <w:separator/>
      </w:r>
    </w:p>
  </w:endnote>
  <w:endnote w:type="continuationSeparator" w:id="0">
    <w:p w14:paraId="2BFBCC8E" w14:textId="77777777" w:rsidR="005B1F5E" w:rsidRDefault="005B1F5E" w:rsidP="00ED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C3B7" w14:textId="77777777" w:rsidR="005B1F5E" w:rsidRDefault="005B1F5E" w:rsidP="00ED5569">
      <w:pPr>
        <w:spacing w:after="0" w:line="240" w:lineRule="auto"/>
      </w:pPr>
      <w:r>
        <w:separator/>
      </w:r>
    </w:p>
  </w:footnote>
  <w:footnote w:type="continuationSeparator" w:id="0">
    <w:p w14:paraId="660908EE" w14:textId="77777777" w:rsidR="005B1F5E" w:rsidRDefault="005B1F5E" w:rsidP="00ED5569">
      <w:pPr>
        <w:spacing w:after="0" w:line="240" w:lineRule="auto"/>
      </w:pPr>
      <w:r>
        <w:continuationSeparator/>
      </w:r>
    </w:p>
  </w:footnote>
  <w:footnote w:id="1">
    <w:p w14:paraId="67E76531" w14:textId="3F085F93" w:rsidR="00995B0D" w:rsidRPr="004C5059" w:rsidRDefault="00995B0D" w:rsidP="00995B0D">
      <w:pPr>
        <w:spacing w:before="100" w:beforeAutospacing="1" w:after="100" w:afterAutospacing="1" w:line="240" w:lineRule="auto"/>
        <w:rPr>
          <w:rFonts w:ascii="Times New Roman" w:hAnsi="Times New Roman" w:cs="Times New Roman"/>
          <w:sz w:val="18"/>
          <w:szCs w:val="18"/>
        </w:rPr>
      </w:pPr>
      <w:r w:rsidRPr="00637D4D">
        <w:rPr>
          <w:rStyle w:val="FootnoteReference"/>
          <w:rFonts w:ascii="Times New Roman" w:hAnsi="Times New Roman" w:cs="Times New Roman"/>
          <w:sz w:val="18"/>
          <w:szCs w:val="18"/>
        </w:rPr>
        <w:footnoteRef/>
      </w:r>
      <w:r w:rsidRPr="00637D4D">
        <w:rPr>
          <w:rFonts w:ascii="Times New Roman" w:hAnsi="Times New Roman" w:cs="Times New Roman"/>
          <w:sz w:val="18"/>
          <w:szCs w:val="18"/>
        </w:rPr>
        <w:t xml:space="preserve"> See Episcopal Church Canons for more information: Title 1, Canon 7, Section 1f: All accounts of Parishes, missions, or other institutions shall be audited </w:t>
      </w:r>
      <w:r w:rsidR="00073F5B" w:rsidRPr="00637D4D">
        <w:rPr>
          <w:rFonts w:ascii="Times New Roman" w:hAnsi="Times New Roman" w:cs="Times New Roman"/>
          <w:sz w:val="18"/>
          <w:szCs w:val="18"/>
        </w:rPr>
        <w:t>annually.</w:t>
      </w:r>
      <w:r w:rsidR="00073F5B" w:rsidRPr="004C5059">
        <w:rPr>
          <w:rFonts w:ascii="Times New Roman" w:hAnsi="Times New Roman" w:cs="Times New Roman"/>
          <w:sz w:val="18"/>
          <w:szCs w:val="18"/>
        </w:rPr>
        <w:t xml:space="preserve"> Note</w:t>
      </w:r>
      <w:r w:rsidRPr="004C5059">
        <w:rPr>
          <w:rFonts w:ascii="Times New Roman" w:hAnsi="Times New Roman" w:cs="Times New Roman"/>
          <w:sz w:val="18"/>
          <w:szCs w:val="18"/>
        </w:rPr>
        <w:t xml:space="preserve">: The State of Ohio no longer licenses public accountants.  The quote in this paragraph is from The Episcopal Church canons, and other states still license public accountants (LPAs) in addition to Certified Public Accountants (CPAs). </w:t>
      </w:r>
    </w:p>
    <w:p w14:paraId="3321FF6A" w14:textId="77777777" w:rsidR="00995B0D" w:rsidRPr="00637D4D" w:rsidRDefault="00995B0D" w:rsidP="00995B0D">
      <w:pPr>
        <w:pStyle w:val="FootnoteText"/>
        <w:rPr>
          <w:rFonts w:ascii="Times New Roman" w:hAnsi="Times New Roman" w:cs="Times New Roman"/>
          <w:sz w:val="18"/>
          <w:szCs w:val="18"/>
        </w:rPr>
      </w:pPr>
    </w:p>
  </w:footnote>
  <w:footnote w:id="2">
    <w:p w14:paraId="0A9EE73A" w14:textId="3D8B6B1E" w:rsidR="00052768" w:rsidRDefault="00052768">
      <w:pPr>
        <w:pStyle w:val="FootnoteText"/>
      </w:pPr>
      <w:r w:rsidRPr="00637D4D">
        <w:rPr>
          <w:rStyle w:val="FootnoteReference"/>
          <w:rFonts w:ascii="Times New Roman" w:hAnsi="Times New Roman" w:cs="Times New Roman"/>
          <w:sz w:val="18"/>
          <w:szCs w:val="18"/>
        </w:rPr>
        <w:footnoteRef/>
      </w:r>
      <w:r w:rsidRPr="00637D4D">
        <w:rPr>
          <w:rFonts w:ascii="Times New Roman" w:hAnsi="Times New Roman" w:cs="Times New Roman"/>
          <w:sz w:val="18"/>
          <w:szCs w:val="18"/>
        </w:rPr>
        <w:t xml:space="preserve"> According to the Manual of Business Methods in Church Affairs, Ch. VI-4.</w:t>
      </w:r>
      <w:r w:rsidRPr="00E3145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602E"/>
    <w:multiLevelType w:val="hybridMultilevel"/>
    <w:tmpl w:val="1096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F11C2"/>
    <w:multiLevelType w:val="hybridMultilevel"/>
    <w:tmpl w:val="0C7E8D5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36E77CB4"/>
    <w:multiLevelType w:val="hybridMultilevel"/>
    <w:tmpl w:val="D0F62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B74F6"/>
    <w:multiLevelType w:val="hybridMultilevel"/>
    <w:tmpl w:val="7F24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D14D7"/>
    <w:multiLevelType w:val="hybridMultilevel"/>
    <w:tmpl w:val="46B28BE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618684198">
    <w:abstractNumId w:val="0"/>
  </w:num>
  <w:num w:numId="2" w16cid:durableId="1932274785">
    <w:abstractNumId w:val="2"/>
  </w:num>
  <w:num w:numId="3" w16cid:durableId="1841969775">
    <w:abstractNumId w:val="1"/>
  </w:num>
  <w:num w:numId="4" w16cid:durableId="605504186">
    <w:abstractNumId w:val="4"/>
  </w:num>
  <w:num w:numId="5" w16cid:durableId="160288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58F"/>
    <w:rsid w:val="00052768"/>
    <w:rsid w:val="00073F5B"/>
    <w:rsid w:val="0012139A"/>
    <w:rsid w:val="00155C60"/>
    <w:rsid w:val="001D3299"/>
    <w:rsid w:val="001F2083"/>
    <w:rsid w:val="00224FC1"/>
    <w:rsid w:val="002401D5"/>
    <w:rsid w:val="00250F76"/>
    <w:rsid w:val="002A5CF4"/>
    <w:rsid w:val="002B6797"/>
    <w:rsid w:val="002B7BEE"/>
    <w:rsid w:val="00326193"/>
    <w:rsid w:val="0035343E"/>
    <w:rsid w:val="003646B6"/>
    <w:rsid w:val="00371A69"/>
    <w:rsid w:val="00477085"/>
    <w:rsid w:val="00501343"/>
    <w:rsid w:val="005B1F5E"/>
    <w:rsid w:val="006179AC"/>
    <w:rsid w:val="00637D4D"/>
    <w:rsid w:val="006F5407"/>
    <w:rsid w:val="0076420A"/>
    <w:rsid w:val="007802A2"/>
    <w:rsid w:val="00822364"/>
    <w:rsid w:val="00875A27"/>
    <w:rsid w:val="008B738E"/>
    <w:rsid w:val="008E0ABE"/>
    <w:rsid w:val="00910AB1"/>
    <w:rsid w:val="009915E4"/>
    <w:rsid w:val="00995B0D"/>
    <w:rsid w:val="009B6F2E"/>
    <w:rsid w:val="00A44B20"/>
    <w:rsid w:val="00AE32E3"/>
    <w:rsid w:val="00B0216A"/>
    <w:rsid w:val="00C1461F"/>
    <w:rsid w:val="00CC3061"/>
    <w:rsid w:val="00DD131A"/>
    <w:rsid w:val="00DF67D9"/>
    <w:rsid w:val="00E30298"/>
    <w:rsid w:val="00E8758F"/>
    <w:rsid w:val="00EC57EC"/>
    <w:rsid w:val="00ED5569"/>
    <w:rsid w:val="00EF4FE2"/>
    <w:rsid w:val="00F42224"/>
    <w:rsid w:val="00F463A8"/>
    <w:rsid w:val="00F95FFD"/>
    <w:rsid w:val="00FB2603"/>
    <w:rsid w:val="00FB69C8"/>
    <w:rsid w:val="00FC4045"/>
    <w:rsid w:val="00FC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861E"/>
  <w15:chartTrackingRefBased/>
  <w15:docId w15:val="{829B53C6-DE9E-4E8F-9E57-FA60900F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58F"/>
    <w:rPr>
      <w:rFonts w:eastAsiaTheme="majorEastAsia" w:cstheme="majorBidi"/>
      <w:color w:val="272727" w:themeColor="text1" w:themeTint="D8"/>
    </w:rPr>
  </w:style>
  <w:style w:type="paragraph" w:styleId="Title">
    <w:name w:val="Title"/>
    <w:basedOn w:val="Normal"/>
    <w:next w:val="Normal"/>
    <w:link w:val="TitleChar"/>
    <w:uiPriority w:val="10"/>
    <w:qFormat/>
    <w:rsid w:val="00E8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58F"/>
    <w:pPr>
      <w:spacing w:before="160"/>
      <w:jc w:val="center"/>
    </w:pPr>
    <w:rPr>
      <w:i/>
      <w:iCs/>
      <w:color w:val="404040" w:themeColor="text1" w:themeTint="BF"/>
    </w:rPr>
  </w:style>
  <w:style w:type="character" w:customStyle="1" w:styleId="QuoteChar">
    <w:name w:val="Quote Char"/>
    <w:basedOn w:val="DefaultParagraphFont"/>
    <w:link w:val="Quote"/>
    <w:uiPriority w:val="29"/>
    <w:rsid w:val="00E8758F"/>
    <w:rPr>
      <w:i/>
      <w:iCs/>
      <w:color w:val="404040" w:themeColor="text1" w:themeTint="BF"/>
    </w:rPr>
  </w:style>
  <w:style w:type="paragraph" w:styleId="ListParagraph">
    <w:name w:val="List Paragraph"/>
    <w:basedOn w:val="Normal"/>
    <w:uiPriority w:val="34"/>
    <w:qFormat/>
    <w:rsid w:val="00E8758F"/>
    <w:pPr>
      <w:ind w:left="720"/>
      <w:contextualSpacing/>
    </w:pPr>
  </w:style>
  <w:style w:type="character" w:styleId="IntenseEmphasis">
    <w:name w:val="Intense Emphasis"/>
    <w:basedOn w:val="DefaultParagraphFont"/>
    <w:uiPriority w:val="21"/>
    <w:qFormat/>
    <w:rsid w:val="00E8758F"/>
    <w:rPr>
      <w:i/>
      <w:iCs/>
      <w:color w:val="0F4761" w:themeColor="accent1" w:themeShade="BF"/>
    </w:rPr>
  </w:style>
  <w:style w:type="paragraph" w:styleId="IntenseQuote">
    <w:name w:val="Intense Quote"/>
    <w:basedOn w:val="Normal"/>
    <w:next w:val="Normal"/>
    <w:link w:val="IntenseQuoteChar"/>
    <w:uiPriority w:val="30"/>
    <w:qFormat/>
    <w:rsid w:val="00E8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58F"/>
    <w:rPr>
      <w:i/>
      <w:iCs/>
      <w:color w:val="0F4761" w:themeColor="accent1" w:themeShade="BF"/>
    </w:rPr>
  </w:style>
  <w:style w:type="character" w:styleId="IntenseReference">
    <w:name w:val="Intense Reference"/>
    <w:basedOn w:val="DefaultParagraphFont"/>
    <w:uiPriority w:val="32"/>
    <w:qFormat/>
    <w:rsid w:val="00E8758F"/>
    <w:rPr>
      <w:b/>
      <w:bCs/>
      <w:smallCaps/>
      <w:color w:val="0F4761" w:themeColor="accent1" w:themeShade="BF"/>
      <w:spacing w:val="5"/>
    </w:rPr>
  </w:style>
  <w:style w:type="table" w:styleId="TableGrid">
    <w:name w:val="Table Grid"/>
    <w:basedOn w:val="TableNormal"/>
    <w:uiPriority w:val="39"/>
    <w:rsid w:val="00FC4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69C8"/>
    <w:rPr>
      <w:sz w:val="16"/>
      <w:szCs w:val="16"/>
    </w:rPr>
  </w:style>
  <w:style w:type="paragraph" w:styleId="CommentText">
    <w:name w:val="annotation text"/>
    <w:basedOn w:val="Normal"/>
    <w:link w:val="CommentTextChar"/>
    <w:uiPriority w:val="99"/>
    <w:semiHidden/>
    <w:unhideWhenUsed/>
    <w:rsid w:val="00FB69C8"/>
    <w:pPr>
      <w:spacing w:line="240" w:lineRule="auto"/>
    </w:pPr>
    <w:rPr>
      <w:sz w:val="20"/>
      <w:szCs w:val="20"/>
    </w:rPr>
  </w:style>
  <w:style w:type="character" w:customStyle="1" w:styleId="CommentTextChar">
    <w:name w:val="Comment Text Char"/>
    <w:basedOn w:val="DefaultParagraphFont"/>
    <w:link w:val="CommentText"/>
    <w:uiPriority w:val="99"/>
    <w:semiHidden/>
    <w:rsid w:val="00FB69C8"/>
    <w:rPr>
      <w:sz w:val="20"/>
      <w:szCs w:val="20"/>
    </w:rPr>
  </w:style>
  <w:style w:type="paragraph" w:styleId="CommentSubject">
    <w:name w:val="annotation subject"/>
    <w:basedOn w:val="CommentText"/>
    <w:next w:val="CommentText"/>
    <w:link w:val="CommentSubjectChar"/>
    <w:uiPriority w:val="99"/>
    <w:semiHidden/>
    <w:unhideWhenUsed/>
    <w:rsid w:val="00FB69C8"/>
    <w:rPr>
      <w:b/>
      <w:bCs/>
    </w:rPr>
  </w:style>
  <w:style w:type="character" w:customStyle="1" w:styleId="CommentSubjectChar">
    <w:name w:val="Comment Subject Char"/>
    <w:basedOn w:val="CommentTextChar"/>
    <w:link w:val="CommentSubject"/>
    <w:uiPriority w:val="99"/>
    <w:semiHidden/>
    <w:rsid w:val="00FB69C8"/>
    <w:rPr>
      <w:b/>
      <w:bCs/>
      <w:sz w:val="20"/>
      <w:szCs w:val="20"/>
    </w:rPr>
  </w:style>
  <w:style w:type="paragraph" w:styleId="Revision">
    <w:name w:val="Revision"/>
    <w:hidden/>
    <w:uiPriority w:val="99"/>
    <w:semiHidden/>
    <w:rsid w:val="00F463A8"/>
    <w:pPr>
      <w:spacing w:after="0" w:line="240" w:lineRule="auto"/>
    </w:pPr>
  </w:style>
  <w:style w:type="paragraph" w:styleId="FootnoteText">
    <w:name w:val="footnote text"/>
    <w:basedOn w:val="Normal"/>
    <w:link w:val="FootnoteTextChar"/>
    <w:uiPriority w:val="99"/>
    <w:semiHidden/>
    <w:unhideWhenUsed/>
    <w:rsid w:val="00ED5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5569"/>
    <w:rPr>
      <w:sz w:val="20"/>
      <w:szCs w:val="20"/>
    </w:rPr>
  </w:style>
  <w:style w:type="character" w:styleId="FootnoteReference">
    <w:name w:val="footnote reference"/>
    <w:basedOn w:val="DefaultParagraphFont"/>
    <w:uiPriority w:val="99"/>
    <w:semiHidden/>
    <w:unhideWhenUsed/>
    <w:rsid w:val="00ED5569"/>
    <w:rPr>
      <w:vertAlign w:val="superscript"/>
    </w:rPr>
  </w:style>
  <w:style w:type="paragraph" w:styleId="Header">
    <w:name w:val="header"/>
    <w:basedOn w:val="Normal"/>
    <w:link w:val="HeaderChar"/>
    <w:uiPriority w:val="99"/>
    <w:unhideWhenUsed/>
    <w:rsid w:val="00FC7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380"/>
  </w:style>
  <w:style w:type="paragraph" w:styleId="Footer">
    <w:name w:val="footer"/>
    <w:basedOn w:val="Normal"/>
    <w:link w:val="FooterChar"/>
    <w:uiPriority w:val="99"/>
    <w:unhideWhenUsed/>
    <w:rsid w:val="00FC7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380"/>
  </w:style>
  <w:style w:type="paragraph" w:styleId="EndnoteText">
    <w:name w:val="endnote text"/>
    <w:basedOn w:val="Normal"/>
    <w:link w:val="EndnoteTextChar"/>
    <w:uiPriority w:val="99"/>
    <w:semiHidden/>
    <w:unhideWhenUsed/>
    <w:rsid w:val="006179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79AC"/>
    <w:rPr>
      <w:sz w:val="20"/>
      <w:szCs w:val="20"/>
    </w:rPr>
  </w:style>
  <w:style w:type="character" w:styleId="EndnoteReference">
    <w:name w:val="endnote reference"/>
    <w:basedOn w:val="DefaultParagraphFont"/>
    <w:uiPriority w:val="99"/>
    <w:semiHidden/>
    <w:unhideWhenUsed/>
    <w:rsid w:val="00617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BF20-73E0-4712-A60A-D93EDA37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897</Words>
  <Characters>4670</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Whitaker</dc:creator>
  <cp:keywords/>
  <dc:description/>
  <cp:lastModifiedBy>Christopher Whitaker</cp:lastModifiedBy>
  <cp:revision>4</cp:revision>
  <dcterms:created xsi:type="dcterms:W3CDTF">2026-01-10T03:09:00Z</dcterms:created>
  <dcterms:modified xsi:type="dcterms:W3CDTF">2026-01-10T03:26:00Z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a49f812b-af9b-4a10-957f-f9f2ba03b0dd</vt:lpwstr>
  </property>
</Properties>
</file>